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A7245" w14:textId="77777777"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592C6B">
        <w:rPr>
          <w:rFonts w:ascii="Arial" w:hAnsi="Arial" w:cs="Arial"/>
          <w:b/>
          <w:bCs/>
          <w:snapToGrid w:val="0"/>
          <w:sz w:val="24"/>
        </w:rPr>
        <w:t>3</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592C6B" w:rsidRPr="00592C6B">
        <w:rPr>
          <w:rFonts w:ascii="Arial" w:hAnsi="Arial" w:cs="Arial"/>
          <w:b/>
          <w:bCs/>
          <w:snapToGrid w:val="0"/>
          <w:sz w:val="24"/>
        </w:rPr>
        <w:t>RP-212036</w:t>
      </w:r>
    </w:p>
    <w:p w14:paraId="653E7BE2" w14:textId="77777777"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592C6B" w:rsidRPr="00592C6B">
        <w:rPr>
          <w:rFonts w:ascii="Arial" w:hAnsi="Arial" w:cs="Arial"/>
          <w:b/>
          <w:bCs/>
          <w:snapToGrid w:val="0"/>
          <w:sz w:val="24"/>
          <w:lang w:val="en-GB"/>
        </w:rPr>
        <w:t>September 13 - 17, 2021</w:t>
      </w:r>
    </w:p>
    <w:p w14:paraId="29237D7F"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6F7C4C" w:rsidRPr="006F7C4C">
        <w:rPr>
          <w:rFonts w:ascii="Arial" w:hAnsi="Arial" w:cs="Arial"/>
          <w:snapToGrid w:val="0"/>
          <w:sz w:val="24"/>
        </w:rPr>
        <w:t>9.</w:t>
      </w:r>
      <w:r w:rsidR="00592C6B">
        <w:rPr>
          <w:rFonts w:ascii="Arial" w:hAnsi="Arial" w:cs="Arial"/>
          <w:snapToGrid w:val="0"/>
          <w:sz w:val="24"/>
        </w:rPr>
        <w:t>2</w:t>
      </w:r>
      <w:r w:rsidR="006F7C4C" w:rsidRPr="006F7C4C">
        <w:rPr>
          <w:rFonts w:ascii="Arial" w:hAnsi="Arial" w:cs="Arial"/>
          <w:snapToGrid w:val="0"/>
          <w:sz w:val="24"/>
        </w:rPr>
        <w:t>.2</w:t>
      </w:r>
    </w:p>
    <w:p w14:paraId="5192364B"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7139CE2F" w14:textId="77777777"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6F7C4C" w:rsidRPr="006F7C4C">
        <w:rPr>
          <w:rFonts w:ascii="Arial" w:hAnsi="Arial" w:cs="Arial"/>
          <w:snapToGrid w:val="0"/>
          <w:sz w:val="24"/>
        </w:rPr>
        <w:t>Discussion and proposed changes for positioning for V2X and public safety</w:t>
      </w:r>
    </w:p>
    <w:p w14:paraId="51A7D357"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2E638A99"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3BC8C8D4" w14:textId="77777777" w:rsidR="00AA30BC" w:rsidRPr="00381A04" w:rsidRDefault="00A7159B" w:rsidP="00AA30BC">
      <w:pPr>
        <w:widowControl/>
        <w:ind w:firstLine="360"/>
        <w:rPr>
          <w:rFonts w:ascii="Times New Roman"/>
          <w:szCs w:val="20"/>
        </w:rPr>
      </w:pPr>
      <w:r>
        <w:rPr>
          <w:rFonts w:ascii="Times New Roman"/>
          <w:szCs w:val="20"/>
          <w:lang w:val="en-GB"/>
        </w:rPr>
        <w:t>This contribution discusses changes necessary to update TR 38.845 “</w:t>
      </w:r>
      <w:r w:rsidRPr="00A7159B">
        <w:rPr>
          <w:rFonts w:ascii="Times New Roman"/>
          <w:szCs w:val="20"/>
          <w:lang w:val="en-GB"/>
        </w:rPr>
        <w:t>Study on scenarios and requirements of in-coverage, partial coverage, and out-of-coverage NR positioning use cases</w:t>
      </w:r>
      <w:r>
        <w:rPr>
          <w:rFonts w:ascii="Times New Roman"/>
          <w:szCs w:val="20"/>
          <w:lang w:val="en-GB"/>
        </w:rPr>
        <w:t xml:space="preserve">.” </w:t>
      </w:r>
      <w:r w:rsidR="00C004CA">
        <w:rPr>
          <w:rFonts w:ascii="Times New Roman"/>
          <w:szCs w:val="20"/>
          <w:lang w:val="en-GB"/>
        </w:rPr>
        <w:t xml:space="preserve">The proposed changes are enclosed in this contribution. This contribution </w:t>
      </w:r>
      <w:r>
        <w:rPr>
          <w:rFonts w:ascii="Times New Roman"/>
          <w:szCs w:val="20"/>
          <w:lang w:val="en-GB"/>
        </w:rPr>
        <w:t xml:space="preserve">also proposes to send the </w:t>
      </w:r>
      <w:r w:rsidR="00592C6B">
        <w:rPr>
          <w:rFonts w:ascii="Times New Roman" w:hint="eastAsia"/>
          <w:szCs w:val="20"/>
          <w:lang w:val="en-GB"/>
        </w:rPr>
        <w:t xml:space="preserve">final version of the </w:t>
      </w:r>
      <w:r>
        <w:rPr>
          <w:rFonts w:ascii="Times New Roman"/>
          <w:szCs w:val="20"/>
          <w:lang w:val="en-GB"/>
        </w:rPr>
        <w:t>TR to the relevant organizations in response to their request for review.</w:t>
      </w:r>
    </w:p>
    <w:p w14:paraId="20CD3E2A" w14:textId="77777777" w:rsidR="006F7C4C" w:rsidRPr="00BB1B60" w:rsidRDefault="006F7C4C" w:rsidP="00BB1B60">
      <w:pPr>
        <w:widowControl/>
        <w:rPr>
          <w:rFonts w:ascii="Times New Roman"/>
          <w:szCs w:val="20"/>
        </w:rPr>
      </w:pPr>
    </w:p>
    <w:p w14:paraId="7CD6A03B" w14:textId="77777777" w:rsidR="00A7159B" w:rsidRPr="00EA02A3" w:rsidRDefault="00A7159B" w:rsidP="00A7159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Changes for 5 </w:t>
      </w:r>
      <w:r w:rsidRPr="00A7159B">
        <w:rPr>
          <w:rFonts w:ascii="Times New Roman" w:eastAsia="바탕체" w:hAnsi="Times New Roman"/>
          <w:b/>
          <w:kern w:val="32"/>
          <w:sz w:val="28"/>
          <w:szCs w:val="28"/>
          <w:lang w:val="en-US" w:eastAsia="ko-KR"/>
        </w:rPr>
        <w:t>Potential deployment and operation scenarios</w:t>
      </w:r>
    </w:p>
    <w:p w14:paraId="50CDE281" w14:textId="77777777" w:rsidR="00592C6B" w:rsidRPr="00592C6B" w:rsidRDefault="00592C6B" w:rsidP="00592C6B">
      <w:pPr>
        <w:pStyle w:val="af4"/>
        <w:widowControl/>
        <w:numPr>
          <w:ilvl w:val="1"/>
          <w:numId w:val="15"/>
        </w:numPr>
        <w:spacing w:after="120"/>
        <w:ind w:leftChars="0" w:left="357" w:hanging="357"/>
        <w:rPr>
          <w:rFonts w:ascii="Times New Roman"/>
          <w:sz w:val="22"/>
          <w:szCs w:val="20"/>
        </w:rPr>
      </w:pPr>
      <w:r w:rsidRPr="00592C6B">
        <w:rPr>
          <w:rFonts w:ascii="Times New Roman"/>
          <w:sz w:val="22"/>
          <w:szCs w:val="20"/>
        </w:rPr>
        <w:t xml:space="preserve">Changes for 5.1 </w:t>
      </w:r>
      <w:r w:rsidRPr="00592C6B">
        <w:rPr>
          <w:rFonts w:ascii="Times New Roman" w:hint="eastAsia"/>
          <w:sz w:val="22"/>
          <w:szCs w:val="20"/>
        </w:rPr>
        <w:t>Network coverage</w:t>
      </w:r>
    </w:p>
    <w:p w14:paraId="05775E6F" w14:textId="77777777" w:rsidR="00592C6B" w:rsidRDefault="00592C6B" w:rsidP="00A7159B">
      <w:pPr>
        <w:widowControl/>
        <w:ind w:firstLine="360"/>
        <w:rPr>
          <w:rFonts w:ascii="Times New Roman"/>
          <w:szCs w:val="20"/>
        </w:rPr>
      </w:pPr>
      <w:r>
        <w:rPr>
          <w:rFonts w:ascii="Times New Roman"/>
          <w:szCs w:val="20"/>
        </w:rPr>
        <w:t xml:space="preserve">The three network coverage scenarios, i.e., in-coverage, partial coverage, and out-coverage, have been well defined since the first </w:t>
      </w:r>
      <w:proofErr w:type="spellStart"/>
      <w:r>
        <w:rPr>
          <w:rFonts w:ascii="Times New Roman"/>
          <w:szCs w:val="20"/>
        </w:rPr>
        <w:t>sidelink</w:t>
      </w:r>
      <w:proofErr w:type="spellEnd"/>
      <w:r>
        <w:rPr>
          <w:rFonts w:ascii="Times New Roman"/>
          <w:szCs w:val="20"/>
        </w:rPr>
        <w:t>-related works in 3GPP. Thus, there seems no immediate needs to add more contents except a figure illustrating these coverage scenarios. An example of such a figure is proposed in the enclosed change proposals.</w:t>
      </w:r>
    </w:p>
    <w:p w14:paraId="4F6E8D8F" w14:textId="77777777" w:rsidR="00592C6B" w:rsidRDefault="00592C6B" w:rsidP="00A7159B">
      <w:pPr>
        <w:widowControl/>
        <w:ind w:firstLine="360"/>
        <w:rPr>
          <w:rFonts w:ascii="Times New Roman"/>
          <w:szCs w:val="20"/>
        </w:rPr>
      </w:pPr>
    </w:p>
    <w:p w14:paraId="5F397A7E" w14:textId="77777777" w:rsidR="00592C6B" w:rsidRPr="00592C6B" w:rsidRDefault="00592C6B" w:rsidP="00592C6B">
      <w:pPr>
        <w:pStyle w:val="af4"/>
        <w:widowControl/>
        <w:numPr>
          <w:ilvl w:val="1"/>
          <w:numId w:val="15"/>
        </w:numPr>
        <w:spacing w:after="120"/>
        <w:ind w:leftChars="0" w:left="357" w:hanging="357"/>
        <w:rPr>
          <w:rFonts w:ascii="Times New Roman"/>
          <w:sz w:val="22"/>
          <w:szCs w:val="20"/>
        </w:rPr>
      </w:pPr>
      <w:r w:rsidRPr="00592C6B">
        <w:rPr>
          <w:rFonts w:ascii="Times New Roman"/>
          <w:sz w:val="22"/>
          <w:szCs w:val="20"/>
        </w:rPr>
        <w:t>Changes for 5.</w:t>
      </w:r>
      <w:r>
        <w:rPr>
          <w:rFonts w:ascii="Times New Roman"/>
          <w:sz w:val="22"/>
          <w:szCs w:val="20"/>
        </w:rPr>
        <w:t>2</w:t>
      </w:r>
      <w:r w:rsidRPr="00592C6B">
        <w:rPr>
          <w:rFonts w:ascii="Times New Roman"/>
          <w:sz w:val="22"/>
          <w:szCs w:val="20"/>
        </w:rPr>
        <w:t xml:space="preserve"> </w:t>
      </w:r>
      <w:r>
        <w:rPr>
          <w:rFonts w:ascii="Times New Roman"/>
          <w:sz w:val="22"/>
          <w:szCs w:val="20"/>
        </w:rPr>
        <w:t>Radio link</w:t>
      </w:r>
    </w:p>
    <w:p w14:paraId="3B1D21EB" w14:textId="77777777" w:rsidR="00592C6B" w:rsidRPr="00802872" w:rsidRDefault="00934EE1" w:rsidP="00A7159B">
      <w:pPr>
        <w:widowControl/>
        <w:ind w:firstLine="360"/>
        <w:rPr>
          <w:rFonts w:ascii="Times New Roman"/>
          <w:szCs w:val="20"/>
        </w:rPr>
      </w:pPr>
      <w:r>
        <w:rPr>
          <w:rFonts w:ascii="Times New Roman" w:hint="eastAsia"/>
          <w:szCs w:val="20"/>
        </w:rPr>
        <w:t xml:space="preserve">It is proposed to add some text </w:t>
      </w:r>
      <w:r>
        <w:rPr>
          <w:rFonts w:ascii="Times New Roman"/>
          <w:szCs w:val="20"/>
        </w:rPr>
        <w:t xml:space="preserve">on a hybrid solution which is defined as a solution using </w:t>
      </w:r>
      <w:r w:rsidRPr="00934EE1">
        <w:rPr>
          <w:rFonts w:ascii="Times New Roman"/>
          <w:szCs w:val="20"/>
        </w:rPr>
        <w:t xml:space="preserve">measurements on both </w:t>
      </w:r>
      <w:proofErr w:type="spellStart"/>
      <w:r w:rsidRPr="00934EE1">
        <w:rPr>
          <w:rFonts w:ascii="Times New Roman"/>
          <w:szCs w:val="20"/>
        </w:rPr>
        <w:t>Uu</w:t>
      </w:r>
      <w:proofErr w:type="spellEnd"/>
      <w:r w:rsidRPr="00934EE1">
        <w:rPr>
          <w:rFonts w:ascii="Times New Roman"/>
          <w:szCs w:val="20"/>
        </w:rPr>
        <w:t xml:space="preserve"> and PC5 interfaces</w:t>
      </w:r>
      <w:r>
        <w:rPr>
          <w:rFonts w:ascii="Times New Roman"/>
          <w:szCs w:val="20"/>
        </w:rPr>
        <w:t xml:space="preserve">. To be specific, it can be clarified that </w:t>
      </w:r>
      <w:proofErr w:type="spellStart"/>
      <w:r>
        <w:rPr>
          <w:rFonts w:ascii="Times New Roman"/>
          <w:szCs w:val="20"/>
        </w:rPr>
        <w:t>Uu</w:t>
      </w:r>
      <w:proofErr w:type="spellEnd"/>
      <w:r>
        <w:rPr>
          <w:rFonts w:ascii="Times New Roman"/>
          <w:szCs w:val="20"/>
        </w:rPr>
        <w:t xml:space="preserve">-based and PC5-based solutions can complement each other when a hybrid scheme is used. </w:t>
      </w:r>
      <w:r w:rsidR="00802872">
        <w:rPr>
          <w:rFonts w:ascii="Times New Roman"/>
          <w:szCs w:val="20"/>
        </w:rPr>
        <w:t xml:space="preserve">When applied to an in-coverage UE, measurement on PC5 interface can sent to the position calculation entity in addition to measurement on </w:t>
      </w:r>
      <w:proofErr w:type="spellStart"/>
      <w:r w:rsidR="00802872">
        <w:rPr>
          <w:rFonts w:ascii="Times New Roman"/>
          <w:szCs w:val="20"/>
        </w:rPr>
        <w:t>Uu</w:t>
      </w:r>
      <w:proofErr w:type="spellEnd"/>
      <w:r w:rsidR="00802872">
        <w:rPr>
          <w:rFonts w:ascii="Times New Roman"/>
          <w:szCs w:val="20"/>
        </w:rPr>
        <w:t xml:space="preserve"> interface, thereby allowing more accurate position estimation.</w:t>
      </w:r>
    </w:p>
    <w:p w14:paraId="67AB0EA8" w14:textId="77777777" w:rsidR="00934EE1" w:rsidRDefault="00934EE1" w:rsidP="00A7159B">
      <w:pPr>
        <w:widowControl/>
        <w:ind w:firstLine="360"/>
        <w:rPr>
          <w:rFonts w:ascii="Times New Roman"/>
          <w:szCs w:val="20"/>
        </w:rPr>
      </w:pPr>
      <w:r>
        <w:rPr>
          <w:rFonts w:ascii="Times New Roman"/>
          <w:szCs w:val="20"/>
        </w:rPr>
        <w:t xml:space="preserve">We also propose to add a short text about RAT independent positioning to explain that some measurement information such as GNSS or sensor data can be transmitted to the position calculation entity through </w:t>
      </w:r>
      <w:proofErr w:type="spellStart"/>
      <w:r>
        <w:rPr>
          <w:rFonts w:ascii="Times New Roman"/>
          <w:szCs w:val="20"/>
        </w:rPr>
        <w:t>Uu</w:t>
      </w:r>
      <w:proofErr w:type="spellEnd"/>
      <w:r>
        <w:rPr>
          <w:rFonts w:ascii="Times New Roman"/>
          <w:szCs w:val="20"/>
        </w:rPr>
        <w:t xml:space="preserve"> or PC5 interface.</w:t>
      </w:r>
    </w:p>
    <w:p w14:paraId="285E3E84" w14:textId="77777777" w:rsidR="00B073C7" w:rsidRDefault="00B073C7" w:rsidP="00B073C7">
      <w:pPr>
        <w:widowControl/>
        <w:rPr>
          <w:rFonts w:ascii="Times New Roman"/>
          <w:szCs w:val="20"/>
        </w:rPr>
      </w:pPr>
    </w:p>
    <w:p w14:paraId="42910E9E" w14:textId="77777777" w:rsidR="00934EE1" w:rsidRPr="00592C6B" w:rsidRDefault="00934EE1" w:rsidP="00934EE1">
      <w:pPr>
        <w:pStyle w:val="af4"/>
        <w:widowControl/>
        <w:numPr>
          <w:ilvl w:val="1"/>
          <w:numId w:val="15"/>
        </w:numPr>
        <w:spacing w:after="120"/>
        <w:ind w:leftChars="0" w:left="357" w:hanging="357"/>
        <w:rPr>
          <w:rFonts w:ascii="Times New Roman"/>
          <w:sz w:val="22"/>
          <w:szCs w:val="20"/>
        </w:rPr>
      </w:pPr>
      <w:r w:rsidRPr="00592C6B">
        <w:rPr>
          <w:rFonts w:ascii="Times New Roman"/>
          <w:sz w:val="22"/>
          <w:szCs w:val="20"/>
        </w:rPr>
        <w:t>Changes for 5.</w:t>
      </w:r>
      <w:r>
        <w:rPr>
          <w:rFonts w:ascii="Times New Roman"/>
          <w:sz w:val="22"/>
          <w:szCs w:val="20"/>
        </w:rPr>
        <w:t>4</w:t>
      </w:r>
      <w:r w:rsidRPr="00592C6B">
        <w:rPr>
          <w:rFonts w:ascii="Times New Roman"/>
          <w:sz w:val="22"/>
          <w:szCs w:val="20"/>
        </w:rPr>
        <w:t xml:space="preserve"> </w:t>
      </w:r>
      <w:r>
        <w:rPr>
          <w:rFonts w:ascii="Times New Roman"/>
          <w:sz w:val="22"/>
          <w:szCs w:val="20"/>
        </w:rPr>
        <w:t>UE types</w:t>
      </w:r>
    </w:p>
    <w:p w14:paraId="51EA93DF" w14:textId="77777777" w:rsidR="00934EE1" w:rsidRDefault="00C37F5E" w:rsidP="00C37F5E">
      <w:pPr>
        <w:widowControl/>
        <w:ind w:firstLine="360"/>
        <w:rPr>
          <w:rFonts w:ascii="Times New Roman"/>
          <w:szCs w:val="20"/>
        </w:rPr>
      </w:pPr>
      <w:r>
        <w:rPr>
          <w:rFonts w:ascii="Times New Roman"/>
          <w:szCs w:val="20"/>
        </w:rPr>
        <w:t>A</w:t>
      </w:r>
      <w:r>
        <w:rPr>
          <w:rFonts w:ascii="Times New Roman" w:hint="eastAsia"/>
          <w:szCs w:val="20"/>
        </w:rPr>
        <w:t xml:space="preserve">s </w:t>
      </w:r>
      <w:r>
        <w:rPr>
          <w:rFonts w:ascii="Times New Roman"/>
          <w:szCs w:val="20"/>
        </w:rPr>
        <w:t xml:space="preserve">captured in the editor’s note, difference in the UE battery and processing capability needs to be considered. Especially in V2X use cases, UEs used by vulnerable road users may have limited capability then those installed in vehicles and road side units. </w:t>
      </w:r>
      <w:r w:rsidRPr="00C37F5E">
        <w:rPr>
          <w:rFonts w:ascii="Times New Roman"/>
          <w:szCs w:val="20"/>
        </w:rPr>
        <w:t xml:space="preserve">For public safety use cases, some UEs may be capable of transmissions with higher power such as Power class 1 which is currently defined in band n14 to support the maximum transmit power of 31 </w:t>
      </w:r>
      <w:proofErr w:type="spellStart"/>
      <w:r w:rsidRPr="00C37F5E">
        <w:rPr>
          <w:rFonts w:ascii="Times New Roman"/>
          <w:szCs w:val="20"/>
        </w:rPr>
        <w:t>dBm</w:t>
      </w:r>
      <w:proofErr w:type="spellEnd"/>
      <w:r w:rsidRPr="00C37F5E">
        <w:rPr>
          <w:rFonts w:ascii="Times New Roman"/>
          <w:szCs w:val="20"/>
        </w:rPr>
        <w:t>.</w:t>
      </w:r>
    </w:p>
    <w:p w14:paraId="2F37AF00" w14:textId="77777777" w:rsidR="00C37F5E" w:rsidRDefault="00C37F5E" w:rsidP="00C37F5E">
      <w:pPr>
        <w:widowControl/>
        <w:ind w:firstLine="360"/>
        <w:rPr>
          <w:rFonts w:ascii="Times New Roman"/>
          <w:szCs w:val="20"/>
        </w:rPr>
      </w:pPr>
      <w:r>
        <w:rPr>
          <w:rFonts w:ascii="Times New Roman"/>
          <w:szCs w:val="20"/>
        </w:rPr>
        <w:t>This subsection already captures that a UE can be equipped with a distributed antenna system, and TR 37.885 can be added as a reference for more detailed antenna modeling.</w:t>
      </w:r>
    </w:p>
    <w:p w14:paraId="06415670" w14:textId="77777777" w:rsidR="00C37F5E" w:rsidRDefault="00C37F5E" w:rsidP="00C37F5E">
      <w:pPr>
        <w:widowControl/>
        <w:ind w:firstLine="360"/>
        <w:rPr>
          <w:rFonts w:ascii="Times New Roman"/>
          <w:szCs w:val="20"/>
        </w:rPr>
      </w:pPr>
    </w:p>
    <w:p w14:paraId="139DCC73" w14:textId="77777777" w:rsidR="00C37F5E" w:rsidRPr="00592C6B" w:rsidRDefault="00C37F5E" w:rsidP="00C37F5E">
      <w:pPr>
        <w:pStyle w:val="af4"/>
        <w:widowControl/>
        <w:numPr>
          <w:ilvl w:val="1"/>
          <w:numId w:val="15"/>
        </w:numPr>
        <w:spacing w:after="120"/>
        <w:ind w:leftChars="0" w:left="357" w:hanging="357"/>
        <w:rPr>
          <w:rFonts w:ascii="Times New Roman"/>
          <w:sz w:val="22"/>
          <w:szCs w:val="20"/>
        </w:rPr>
      </w:pPr>
      <w:r w:rsidRPr="00592C6B">
        <w:rPr>
          <w:rFonts w:ascii="Times New Roman"/>
          <w:sz w:val="22"/>
          <w:szCs w:val="20"/>
        </w:rPr>
        <w:t>Changes for 5.</w:t>
      </w:r>
      <w:r>
        <w:rPr>
          <w:rFonts w:ascii="Times New Roman"/>
          <w:sz w:val="22"/>
          <w:szCs w:val="20"/>
        </w:rPr>
        <w:t>5</w:t>
      </w:r>
      <w:r w:rsidRPr="00592C6B">
        <w:rPr>
          <w:rFonts w:ascii="Times New Roman"/>
          <w:sz w:val="22"/>
          <w:szCs w:val="20"/>
        </w:rPr>
        <w:t xml:space="preserve"> </w:t>
      </w:r>
      <w:r>
        <w:rPr>
          <w:rFonts w:ascii="Times New Roman"/>
          <w:sz w:val="22"/>
          <w:szCs w:val="20"/>
        </w:rPr>
        <w:t>Spectrums</w:t>
      </w:r>
    </w:p>
    <w:p w14:paraId="27B90F60" w14:textId="43B157F7" w:rsidR="00C37F5E" w:rsidRDefault="007C1EAA" w:rsidP="00C37F5E">
      <w:pPr>
        <w:widowControl/>
        <w:ind w:firstLine="360"/>
        <w:rPr>
          <w:rFonts w:ascii="Times New Roman"/>
          <w:szCs w:val="20"/>
        </w:rPr>
      </w:pPr>
      <w:r>
        <w:rPr>
          <w:rFonts w:ascii="Times New Roman"/>
          <w:szCs w:val="20"/>
        </w:rPr>
        <w:t xml:space="preserve">On the spectrum, we may add the relevant contests in the 5GAA TR. To be specific, we can summarize the following text and capture the possible bandwidth in each spectrum and the aspects that need further consideration such as </w:t>
      </w:r>
      <w:r w:rsidRPr="007C1EAA">
        <w:rPr>
          <w:rFonts w:ascii="Times New Roman"/>
          <w:szCs w:val="20"/>
        </w:rPr>
        <w:t>positioning accuracy, the spectrum availability, the interference level and the regulation issue.</w:t>
      </w:r>
      <w:r w:rsidR="00BF0BBB">
        <w:rPr>
          <w:rFonts w:ascii="Times New Roman"/>
          <w:szCs w:val="20"/>
        </w:rPr>
        <w:t xml:space="preserve"> For the unlicensed band, the spectrum candidates summarized for NR-U can be referenced.</w:t>
      </w:r>
    </w:p>
    <w:tbl>
      <w:tblPr>
        <w:tblStyle w:val="aa"/>
        <w:tblW w:w="0" w:type="auto"/>
        <w:tblLook w:val="04A0" w:firstRow="1" w:lastRow="0" w:firstColumn="1" w:lastColumn="0" w:noHBand="0" w:noVBand="1"/>
      </w:tblPr>
      <w:tblGrid>
        <w:gridCol w:w="9362"/>
      </w:tblGrid>
      <w:tr w:rsidR="007C1EAA" w14:paraId="6D014E2A" w14:textId="77777777" w:rsidTr="007C1EAA">
        <w:tc>
          <w:tcPr>
            <w:tcW w:w="9362" w:type="dxa"/>
          </w:tcPr>
          <w:p w14:paraId="565ECCF4" w14:textId="5A37B123" w:rsidR="007C1EAA" w:rsidRPr="007C1EAA" w:rsidRDefault="007C1EAA" w:rsidP="007C1EAA">
            <w:pPr>
              <w:pStyle w:val="LGTdoc1"/>
              <w:adjustRightInd/>
              <w:spacing w:afterAutospacing="0"/>
              <w:rPr>
                <w:b w:val="0"/>
                <w:sz w:val="20"/>
              </w:rPr>
            </w:pPr>
            <w:r>
              <w:rPr>
                <w:rFonts w:hint="eastAsia"/>
                <w:b w:val="0"/>
                <w:sz w:val="20"/>
              </w:rPr>
              <w:t xml:space="preserve">Copied from </w:t>
            </w:r>
            <w:r>
              <w:rPr>
                <w:b w:val="0"/>
                <w:sz w:val="20"/>
              </w:rPr>
              <w:t xml:space="preserve">7.5.3 Spectrum requirement for </w:t>
            </w:r>
            <w:proofErr w:type="spellStart"/>
            <w:r>
              <w:rPr>
                <w:b w:val="0"/>
                <w:sz w:val="20"/>
              </w:rPr>
              <w:t>sidelink</w:t>
            </w:r>
            <w:proofErr w:type="spellEnd"/>
            <w:r>
              <w:rPr>
                <w:b w:val="0"/>
                <w:sz w:val="20"/>
              </w:rPr>
              <w:t xml:space="preserve"> positioning in </w:t>
            </w:r>
            <w:r>
              <w:rPr>
                <w:rFonts w:hint="eastAsia"/>
                <w:b w:val="0"/>
                <w:sz w:val="20"/>
              </w:rPr>
              <w:t>5GAA TR</w:t>
            </w:r>
            <w:r>
              <w:rPr>
                <w:b w:val="0"/>
                <w:sz w:val="20"/>
              </w:rPr>
              <w:t xml:space="preserve"> “</w:t>
            </w:r>
            <w:r w:rsidRPr="007C1EAA">
              <w:rPr>
                <w:b w:val="0"/>
                <w:sz w:val="20"/>
              </w:rPr>
              <w:t>System Architecture and Solution Development; High-Accuracy Positioning for C-V2X</w:t>
            </w:r>
            <w:r>
              <w:rPr>
                <w:b w:val="0"/>
                <w:sz w:val="20"/>
              </w:rPr>
              <w:t>”</w:t>
            </w:r>
          </w:p>
          <w:p w14:paraId="2FE08AC6" w14:textId="77777777" w:rsidR="007C1EAA" w:rsidRDefault="007C1EAA" w:rsidP="007C1EAA">
            <w:pPr>
              <w:pStyle w:val="LGTdoc1"/>
              <w:numPr>
                <w:ilvl w:val="0"/>
                <w:numId w:val="16"/>
              </w:numPr>
              <w:adjustRightInd/>
              <w:spacing w:afterAutospacing="0"/>
              <w:rPr>
                <w:b w:val="0"/>
                <w:sz w:val="20"/>
              </w:rPr>
            </w:pPr>
            <w:r>
              <w:rPr>
                <w:sz w:val="20"/>
              </w:rPr>
              <w:t>ITS band:</w:t>
            </w:r>
          </w:p>
          <w:p w14:paraId="54388AFF" w14:textId="77777777" w:rsidR="007C1EAA" w:rsidRDefault="007C1EAA" w:rsidP="007C1EAA">
            <w:pPr>
              <w:pStyle w:val="LGTdoc1"/>
              <w:spacing w:afterAutospacing="0"/>
              <w:ind w:left="400"/>
              <w:rPr>
                <w:b w:val="0"/>
                <w:bCs/>
                <w:sz w:val="20"/>
              </w:rPr>
            </w:pPr>
            <w:r>
              <w:rPr>
                <w:b w:val="0"/>
                <w:bCs/>
                <w:sz w:val="20"/>
              </w:rPr>
              <w:t xml:space="preserve">The spectrum band 5850 - 5925 MHz has been allocated for ITS basic safety services. As the band is dedicated for the use of V2X service, it provides the benefit of the spectrum availability. However, one problem for </w:t>
            </w:r>
            <w:proofErr w:type="spellStart"/>
            <w:r>
              <w:rPr>
                <w:b w:val="0"/>
                <w:bCs/>
                <w:sz w:val="20"/>
              </w:rPr>
              <w:lastRenderedPageBreak/>
              <w:t>sidelink</w:t>
            </w:r>
            <w:proofErr w:type="spellEnd"/>
            <w:r>
              <w:rPr>
                <w:b w:val="0"/>
                <w:bCs/>
                <w:sz w:val="20"/>
              </w:rPr>
              <w:t xml:space="preserve"> S-PRS transmission in ITS spectrum is that the bandwidth may be limited. For example, in the US, there may be only 20 MHz ITS spectrum available for CV2X deployment. Unless the whole 70MHz bandwidth is used for positioning purpose, the accuracy obtained by using the ITS band is limited. Therefore, it may be difficult to achieve the desired sub-meter level accuracy if </w:t>
            </w:r>
            <w:proofErr w:type="spellStart"/>
            <w:r>
              <w:rPr>
                <w:b w:val="0"/>
                <w:bCs/>
                <w:sz w:val="20"/>
              </w:rPr>
              <w:t>sidelink</w:t>
            </w:r>
            <w:proofErr w:type="spellEnd"/>
            <w:r>
              <w:rPr>
                <w:b w:val="0"/>
                <w:bCs/>
                <w:sz w:val="20"/>
              </w:rPr>
              <w:t xml:space="preserve"> S-PRS is transmitted in ITS spectrum. However, depending on the use cases, the ITS band may be used for the positioning services with somewhat relaxed accuracy requirement. The positioning technique using this band can be combined with other positioning techniques based on the sensor or the camera for positioning accuracy improvement</w:t>
            </w:r>
          </w:p>
          <w:p w14:paraId="183933E7" w14:textId="77777777" w:rsidR="007C1EAA" w:rsidRDefault="007C1EAA" w:rsidP="007C1EAA">
            <w:pPr>
              <w:pStyle w:val="LGTdoc1"/>
              <w:spacing w:afterAutospacing="0"/>
              <w:ind w:left="400"/>
              <w:rPr>
                <w:b w:val="0"/>
                <w:bCs/>
                <w:sz w:val="20"/>
              </w:rPr>
            </w:pPr>
            <w:r>
              <w:rPr>
                <w:b w:val="0"/>
                <w:bCs/>
                <w:sz w:val="20"/>
              </w:rPr>
              <w:t xml:space="preserve">If a positioning service is provided in ITS dedicated spectrum, it’s desirable for both </w:t>
            </w:r>
            <w:proofErr w:type="spellStart"/>
            <w:r>
              <w:rPr>
                <w:b w:val="0"/>
                <w:bCs/>
                <w:sz w:val="20"/>
              </w:rPr>
              <w:t>sidelink</w:t>
            </w:r>
            <w:proofErr w:type="spellEnd"/>
            <w:r>
              <w:rPr>
                <w:b w:val="0"/>
                <w:bCs/>
                <w:sz w:val="20"/>
              </w:rPr>
              <w:t xml:space="preserve"> communication and positioning to share the same ITS band. Considering that the bandwidth of ITS spectrum is limited, any band fragmentation by introducing a </w:t>
            </w:r>
            <w:proofErr w:type="spellStart"/>
            <w:r>
              <w:rPr>
                <w:b w:val="0"/>
                <w:bCs/>
                <w:sz w:val="20"/>
              </w:rPr>
              <w:t>sidelink</w:t>
            </w:r>
            <w:proofErr w:type="spellEnd"/>
            <w:r>
              <w:rPr>
                <w:b w:val="0"/>
                <w:bCs/>
                <w:sz w:val="20"/>
              </w:rPr>
              <w:t xml:space="preserve"> positioning should be avoided for better utilization of the ITS spectrum.</w:t>
            </w:r>
          </w:p>
          <w:p w14:paraId="6588E188" w14:textId="77777777" w:rsidR="007C1EAA" w:rsidRDefault="007C1EAA" w:rsidP="007C1EAA">
            <w:pPr>
              <w:pStyle w:val="LGTdoc1"/>
              <w:spacing w:afterAutospacing="0"/>
              <w:ind w:left="400"/>
              <w:rPr>
                <w:b w:val="0"/>
                <w:bCs/>
                <w:sz w:val="20"/>
              </w:rPr>
            </w:pPr>
            <w:r>
              <w:rPr>
                <w:b w:val="0"/>
                <w:bCs/>
                <w:sz w:val="20"/>
              </w:rPr>
              <w:t>It’s worthy to mention that a much wider bandwidth is also available for ITS services. Especially in Europe, more than 1 GHz spectrum bandwidth on 60 GHz band has been considered for the dedicated spectrum for V2X. Such a wide bandwidth should provide a significant benefit in terms of the positioning accuracy and availability.</w:t>
            </w:r>
          </w:p>
          <w:p w14:paraId="4F411C96" w14:textId="77777777" w:rsidR="007C1EAA" w:rsidRDefault="007C1EAA" w:rsidP="007C1EAA">
            <w:pPr>
              <w:pStyle w:val="LGTdoc1"/>
              <w:numPr>
                <w:ilvl w:val="0"/>
                <w:numId w:val="16"/>
              </w:numPr>
              <w:adjustRightInd/>
              <w:spacing w:afterAutospacing="0"/>
              <w:rPr>
                <w:bCs/>
                <w:sz w:val="20"/>
              </w:rPr>
            </w:pPr>
            <w:r>
              <w:rPr>
                <w:sz w:val="20"/>
              </w:rPr>
              <w:t>Licensed band:</w:t>
            </w:r>
          </w:p>
          <w:p w14:paraId="0FF27BD7" w14:textId="77777777" w:rsidR="007C1EAA" w:rsidRDefault="007C1EAA" w:rsidP="007C1EAA">
            <w:pPr>
              <w:pStyle w:val="LGTdoc1"/>
              <w:spacing w:afterAutospacing="0"/>
              <w:ind w:left="400"/>
              <w:rPr>
                <w:b w:val="0"/>
                <w:sz w:val="20"/>
              </w:rPr>
            </w:pPr>
            <w:r>
              <w:rPr>
                <w:b w:val="0"/>
                <w:bCs/>
                <w:sz w:val="20"/>
              </w:rPr>
              <w:t xml:space="preserve">3GPP NR systems provide higher flexibility in spectrum bandwidth as well as various numerologies, compared to LTE system. Using licensed band for S-PRS transmission is feasible when C-V2X communication shares spectrum with cellular network. In this case, network nodes, e.g., base stations, may configure S-PRS transmission on </w:t>
            </w:r>
            <w:proofErr w:type="spellStart"/>
            <w:r>
              <w:rPr>
                <w:b w:val="0"/>
                <w:bCs/>
                <w:sz w:val="20"/>
              </w:rPr>
              <w:t>sidelink</w:t>
            </w:r>
            <w:proofErr w:type="spellEnd"/>
            <w:r>
              <w:rPr>
                <w:b w:val="0"/>
                <w:bCs/>
                <w:sz w:val="20"/>
              </w:rPr>
              <w:t xml:space="preserve">. For example, up to 400 MHz bandwidth can be supported by an NR network; if S-PRS for V2X positioning can be transmitted on NR licensed spectrum, the bandwidth would be quite sufficient for providing a high accuracy (less than 0.5 m). Note that the actual positioning accuracy is determined by the bandwidth that is allocated for the positioning services, and it is up to the needs in commercial use. It is also noted that S-PRS transmission on licensed band may not be guaranteed, depending on C-V2X deployment. For example, the S-PRS transmission would not be available when C-V2X devices do not have </w:t>
            </w:r>
            <w:proofErr w:type="spellStart"/>
            <w:r>
              <w:rPr>
                <w:b w:val="0"/>
                <w:bCs/>
                <w:sz w:val="20"/>
              </w:rPr>
              <w:t>Uu</w:t>
            </w:r>
            <w:proofErr w:type="spellEnd"/>
            <w:r>
              <w:rPr>
                <w:b w:val="0"/>
                <w:bCs/>
                <w:sz w:val="20"/>
              </w:rPr>
              <w:t xml:space="preserve"> capability, i.e., C-V2X is deployed out of network coverage. </w:t>
            </w:r>
          </w:p>
          <w:p w14:paraId="6485964F" w14:textId="77777777" w:rsidR="007C1EAA" w:rsidRDefault="007C1EAA" w:rsidP="007C1EAA">
            <w:pPr>
              <w:pStyle w:val="LGTdoc1"/>
              <w:numPr>
                <w:ilvl w:val="0"/>
                <w:numId w:val="16"/>
              </w:numPr>
              <w:adjustRightInd/>
              <w:spacing w:afterAutospacing="0"/>
              <w:rPr>
                <w:bCs/>
                <w:sz w:val="20"/>
              </w:rPr>
            </w:pPr>
            <w:r>
              <w:rPr>
                <w:sz w:val="20"/>
              </w:rPr>
              <w:t>Unlicensed band:</w:t>
            </w:r>
          </w:p>
          <w:p w14:paraId="7E0A5239" w14:textId="16585919" w:rsidR="007C1EAA" w:rsidRPr="007C1EAA" w:rsidRDefault="007C1EAA" w:rsidP="007C1EAA">
            <w:pPr>
              <w:pStyle w:val="LGTdoc1"/>
              <w:spacing w:afterAutospacing="0"/>
              <w:ind w:left="400"/>
              <w:rPr>
                <w:b w:val="0"/>
                <w:sz w:val="20"/>
              </w:rPr>
            </w:pPr>
            <w:r>
              <w:rPr>
                <w:b w:val="0"/>
                <w:bCs/>
                <w:sz w:val="20"/>
              </w:rPr>
              <w:t xml:space="preserve">One motivation for using unlicensed band is to accommodate S-PRS transmission over wideband spectrum. For example, U-NII-3 has 125 MHz bandwidth available (5.725 GHz – 5.85 GHz). It is noted that in this scenario, the unlicensed spectrum may be used only for S-PRS transmission; assistance information related to the S-PRS transmission in unlicensed spectrum and information related to measurements can still be transmitted over licensed spectrum or ITS spectrum depending on C-V2X deployment. In this scenario, the use of two different bands needs to be taken into account in hardware implementation. For S-PRS transmission in unlicensed spectrum, it is noted that use of the spectrum is subject to regulatory requirements depending the region, which may cause other problems in </w:t>
            </w:r>
            <w:proofErr w:type="spellStart"/>
            <w:r>
              <w:rPr>
                <w:b w:val="0"/>
                <w:bCs/>
                <w:sz w:val="20"/>
              </w:rPr>
              <w:t>sidelink</w:t>
            </w:r>
            <w:proofErr w:type="spellEnd"/>
            <w:r>
              <w:rPr>
                <w:b w:val="0"/>
                <w:bCs/>
                <w:sz w:val="20"/>
              </w:rPr>
              <w:t xml:space="preserve"> positioning, e.g., excessive delay or potential interference if the band is shared with other technologies. All these issues needs to be technically solved, however the availability of the spectrum is one of the most important merits for its positioning use.</w:t>
            </w:r>
          </w:p>
        </w:tc>
      </w:tr>
    </w:tbl>
    <w:p w14:paraId="018FA72D" w14:textId="77777777" w:rsidR="00C37F5E" w:rsidRDefault="00C37F5E" w:rsidP="00C37F5E">
      <w:pPr>
        <w:widowControl/>
        <w:ind w:firstLine="360"/>
        <w:rPr>
          <w:rFonts w:ascii="Times New Roman"/>
          <w:szCs w:val="20"/>
        </w:rPr>
      </w:pPr>
    </w:p>
    <w:p w14:paraId="7F0D1FE4" w14:textId="77777777" w:rsidR="00C37F5E" w:rsidRPr="00EA02A3" w:rsidRDefault="00C37F5E" w:rsidP="00C37F5E">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Changes for 6 Conclusions</w:t>
      </w:r>
    </w:p>
    <w:p w14:paraId="38483CCD" w14:textId="0238D79C" w:rsidR="00571E15" w:rsidRDefault="00571E15" w:rsidP="00C37F5E">
      <w:pPr>
        <w:widowControl/>
        <w:ind w:firstLine="360"/>
        <w:rPr>
          <w:rFonts w:ascii="Times New Roman"/>
          <w:szCs w:val="20"/>
        </w:rPr>
      </w:pPr>
      <w:r>
        <w:rPr>
          <w:rFonts w:ascii="Times New Roman"/>
          <w:szCs w:val="20"/>
        </w:rPr>
        <w:t>We propose to write this section by taking TR 38.807 “</w:t>
      </w:r>
      <w:r w:rsidRPr="00571E15">
        <w:rPr>
          <w:rFonts w:ascii="Times New Roman"/>
          <w:szCs w:val="20"/>
        </w:rPr>
        <w:t>Study on requirements for NR beyond 52.6 GHz</w:t>
      </w:r>
      <w:r>
        <w:rPr>
          <w:rFonts w:ascii="Times New Roman"/>
          <w:szCs w:val="20"/>
        </w:rPr>
        <w:t xml:space="preserve">.” </w:t>
      </w:r>
      <w:r w:rsidR="00452451">
        <w:rPr>
          <w:rFonts w:ascii="Times New Roman"/>
          <w:szCs w:val="20"/>
        </w:rPr>
        <w:t>To be specific, this section can include the two aspects (</w:t>
      </w:r>
      <w:r w:rsidR="00452451" w:rsidRPr="00452451">
        <w:rPr>
          <w:rFonts w:ascii="Times New Roman"/>
          <w:szCs w:val="20"/>
        </w:rPr>
        <w:t>the positioning use cases and requirements, and the potential deployment and operation scenarios</w:t>
      </w:r>
      <w:r w:rsidR="00452451">
        <w:rPr>
          <w:rFonts w:ascii="Times New Roman"/>
          <w:szCs w:val="20"/>
        </w:rPr>
        <w:t>)</w:t>
      </w:r>
      <w:r w:rsidR="00452451" w:rsidRPr="00452451">
        <w:rPr>
          <w:rFonts w:ascii="Times New Roman"/>
          <w:szCs w:val="20"/>
        </w:rPr>
        <w:t xml:space="preserve"> </w:t>
      </w:r>
      <w:r w:rsidR="00452451">
        <w:rPr>
          <w:rFonts w:ascii="Times New Roman"/>
          <w:szCs w:val="20"/>
        </w:rPr>
        <w:t>this study has considered, and summarize what has been identified for these two aspects in Section 4 and 5.</w:t>
      </w:r>
    </w:p>
    <w:p w14:paraId="12DA7562" w14:textId="77777777" w:rsidR="00934EE1" w:rsidRPr="00B073C7" w:rsidRDefault="00934EE1" w:rsidP="00B073C7">
      <w:pPr>
        <w:widowControl/>
        <w:rPr>
          <w:rFonts w:ascii="Times New Roman"/>
          <w:szCs w:val="20"/>
        </w:rPr>
      </w:pPr>
    </w:p>
    <w:p w14:paraId="61D5DC0F" w14:textId="77777777" w:rsidR="00A7159B" w:rsidRPr="00EA02A3" w:rsidRDefault="00A7159B" w:rsidP="00A7159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Other aspects</w:t>
      </w:r>
    </w:p>
    <w:p w14:paraId="646812C6" w14:textId="28D7A5F8" w:rsidR="00A7159B" w:rsidRDefault="00452451" w:rsidP="00A7159B">
      <w:pPr>
        <w:widowControl/>
        <w:ind w:firstLine="360"/>
        <w:rPr>
          <w:rFonts w:ascii="Times New Roman"/>
          <w:szCs w:val="20"/>
        </w:rPr>
      </w:pPr>
      <w:r>
        <w:rPr>
          <w:rFonts w:ascii="Times New Roman"/>
          <w:szCs w:val="20"/>
        </w:rPr>
        <w:t xml:space="preserve">As this study was conducted based on the input from organizations such as 5GAA and </w:t>
      </w:r>
      <w:r w:rsidR="000D627C" w:rsidRPr="000D627C">
        <w:rPr>
          <w:rFonts w:ascii="Times New Roman"/>
          <w:szCs w:val="20"/>
        </w:rPr>
        <w:t>SAE Advanced Applications Technical Committee</w:t>
      </w:r>
      <w:r>
        <w:rPr>
          <w:rFonts w:ascii="Times New Roman"/>
          <w:szCs w:val="20"/>
        </w:rPr>
        <w:t>. Once TR 38.845 is approved in this TSG RAN meeting, an LS needs to be sent to these organizations to inform the study outcome.</w:t>
      </w:r>
    </w:p>
    <w:p w14:paraId="7F6B021C" w14:textId="77777777" w:rsidR="0003333C" w:rsidRPr="00381A04" w:rsidRDefault="0003333C" w:rsidP="00A7159B">
      <w:pPr>
        <w:widowControl/>
        <w:ind w:firstLine="360"/>
        <w:rPr>
          <w:rFonts w:ascii="Times New Roman"/>
          <w:szCs w:val="20"/>
        </w:rPr>
      </w:pPr>
    </w:p>
    <w:p w14:paraId="00921638" w14:textId="6EBDDF53" w:rsidR="0003333C" w:rsidRPr="00EA02A3" w:rsidRDefault="0003333C" w:rsidP="0003333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Conclusion</w:t>
      </w:r>
    </w:p>
    <w:p w14:paraId="36727986" w14:textId="59190C1D" w:rsidR="00A173C3" w:rsidRDefault="0003333C" w:rsidP="0003333C">
      <w:pPr>
        <w:widowControl/>
        <w:ind w:firstLine="360"/>
        <w:rPr>
          <w:rFonts w:ascii="Times New Roman"/>
          <w:szCs w:val="20"/>
        </w:rPr>
      </w:pPr>
      <w:r w:rsidRPr="0003333C">
        <w:rPr>
          <w:rFonts w:ascii="Times New Roman" w:hint="eastAsia"/>
          <w:szCs w:val="20"/>
        </w:rPr>
        <w:t xml:space="preserve">This </w:t>
      </w:r>
      <w:r>
        <w:rPr>
          <w:rFonts w:ascii="Times New Roman"/>
          <w:szCs w:val="20"/>
        </w:rPr>
        <w:t>contribution discussed additional changes necessary for the completion of TR 37.885. It is proposed to adopt the changes found in the enclosed document. In addition, it is proposed to send the final version of the TR to the relevant organizations.</w:t>
      </w:r>
    </w:p>
    <w:p w14:paraId="29138ED3" w14:textId="77777777" w:rsidR="00BF0BBB" w:rsidRDefault="00BF0BBB" w:rsidP="00BF0BBB">
      <w:pPr>
        <w:widowControl/>
        <w:rPr>
          <w:rFonts w:ascii="Times New Roman"/>
          <w:szCs w:val="20"/>
        </w:rPr>
      </w:pPr>
    </w:p>
    <w:p w14:paraId="41D210AB" w14:textId="634A63BE" w:rsidR="00BF0BBB" w:rsidRDefault="00BF0BBB" w:rsidP="00BF0BBB">
      <w:pPr>
        <w:pStyle w:val="1"/>
        <w:keepLines w:val="0"/>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lang w:val="en-US" w:eastAsia="ko-KR"/>
        </w:rPr>
      </w:pPr>
      <w:r>
        <w:rPr>
          <w:rFonts w:ascii="Times New Roman" w:eastAsia="바탕체" w:hAnsi="Times New Roman"/>
          <w:b/>
          <w:kern w:val="32"/>
          <w:sz w:val="28"/>
          <w:szCs w:val="28"/>
          <w:lang w:val="en-US" w:eastAsia="ko-KR"/>
        </w:rPr>
        <w:lastRenderedPageBreak/>
        <w:t>Reference</w:t>
      </w:r>
    </w:p>
    <w:p w14:paraId="37E15B3F" w14:textId="49B5ADD9" w:rsidR="00BF0BBB" w:rsidRDefault="00BF0BBB" w:rsidP="00BF0BBB">
      <w:pPr>
        <w:widowControl/>
        <w:rPr>
          <w:rFonts w:ascii="Times New Roman"/>
          <w:szCs w:val="20"/>
        </w:rPr>
      </w:pPr>
      <w:r w:rsidRPr="00BF0BBB">
        <w:rPr>
          <w:rFonts w:ascii="Times New Roman" w:hint="eastAsia"/>
          <w:szCs w:val="20"/>
        </w:rPr>
        <w:t>[1]</w:t>
      </w:r>
      <w:r>
        <w:rPr>
          <w:rFonts w:ascii="Times New Roman"/>
          <w:szCs w:val="20"/>
        </w:rPr>
        <w:t xml:space="preserve"> </w:t>
      </w:r>
      <w:r w:rsidRPr="00BF0BBB">
        <w:rPr>
          <w:rFonts w:ascii="Times New Roman"/>
          <w:szCs w:val="20"/>
        </w:rPr>
        <w:t>R1-1802433</w:t>
      </w:r>
      <w:r>
        <w:rPr>
          <w:rFonts w:ascii="Times New Roman"/>
          <w:szCs w:val="20"/>
        </w:rPr>
        <w:t>, “</w:t>
      </w:r>
      <w:r w:rsidRPr="00BF0BBB">
        <w:rPr>
          <w:rFonts w:ascii="Times New Roman"/>
          <w:szCs w:val="20"/>
        </w:rPr>
        <w:t>Companies’ views on candidate spectrum for NR unlicensed operation</w:t>
      </w:r>
      <w:r>
        <w:rPr>
          <w:rFonts w:ascii="Times New Roman"/>
          <w:szCs w:val="20"/>
        </w:rPr>
        <w:t xml:space="preserve">,” </w:t>
      </w:r>
      <w:r w:rsidRPr="00BF0BBB">
        <w:rPr>
          <w:rFonts w:ascii="Times New Roman"/>
          <w:szCs w:val="20"/>
        </w:rPr>
        <w:t xml:space="preserve">Intel Corporation, Sony, AT&amp;T, Nokia, Nokia Shanghai Bell, Ericsson, Charter Communications, Qualcomm Incorporated, ZTE, </w:t>
      </w:r>
      <w:proofErr w:type="spellStart"/>
      <w:r w:rsidRPr="00BF0BBB">
        <w:rPr>
          <w:rFonts w:ascii="Times New Roman"/>
          <w:szCs w:val="20"/>
        </w:rPr>
        <w:t>Sanechips</w:t>
      </w:r>
      <w:proofErr w:type="spellEnd"/>
      <w:r w:rsidRPr="00BF0BBB">
        <w:rPr>
          <w:rFonts w:ascii="Times New Roman"/>
          <w:szCs w:val="20"/>
        </w:rPr>
        <w:t xml:space="preserve">, LG Electronics, Motorola Mobility, Lenovo, </w:t>
      </w:r>
      <w:proofErr w:type="spellStart"/>
      <w:r w:rsidRPr="00BF0BBB">
        <w:rPr>
          <w:rFonts w:ascii="Times New Roman"/>
          <w:szCs w:val="20"/>
        </w:rPr>
        <w:t>InterDigital</w:t>
      </w:r>
      <w:proofErr w:type="spellEnd"/>
      <w:r w:rsidRPr="00BF0BBB">
        <w:rPr>
          <w:rFonts w:ascii="Times New Roman"/>
          <w:szCs w:val="20"/>
        </w:rPr>
        <w:t xml:space="preserve">, Huawei, </w:t>
      </w:r>
      <w:proofErr w:type="spellStart"/>
      <w:r w:rsidRPr="00BF0BBB">
        <w:rPr>
          <w:rFonts w:ascii="Times New Roman"/>
          <w:szCs w:val="20"/>
        </w:rPr>
        <w:t>HiSilicon</w:t>
      </w:r>
      <w:proofErr w:type="spellEnd"/>
      <w:r w:rsidRPr="00BF0BBB">
        <w:rPr>
          <w:rFonts w:ascii="Times New Roman"/>
          <w:szCs w:val="20"/>
        </w:rPr>
        <w:t xml:space="preserve">, Samsung, Verizon, </w:t>
      </w:r>
      <w:proofErr w:type="spellStart"/>
      <w:r w:rsidRPr="00BF0BBB">
        <w:rPr>
          <w:rFonts w:ascii="Times New Roman"/>
          <w:szCs w:val="20"/>
        </w:rPr>
        <w:t>MediaTek</w:t>
      </w:r>
      <w:proofErr w:type="spellEnd"/>
      <w:r w:rsidRPr="00BF0BBB">
        <w:rPr>
          <w:rFonts w:ascii="Times New Roman"/>
          <w:szCs w:val="20"/>
        </w:rPr>
        <w:t xml:space="preserve"> Inc., Comcast, </w:t>
      </w:r>
      <w:proofErr w:type="spellStart"/>
      <w:r w:rsidRPr="00BF0BBB">
        <w:rPr>
          <w:rFonts w:ascii="Times New Roman"/>
          <w:szCs w:val="20"/>
        </w:rPr>
        <w:t>CableLabs</w:t>
      </w:r>
      <w:proofErr w:type="spellEnd"/>
      <w:r w:rsidRPr="00BF0BBB">
        <w:rPr>
          <w:rFonts w:ascii="Times New Roman"/>
          <w:szCs w:val="20"/>
        </w:rPr>
        <w:t>, CATT, Deutsche Telekom, T-Mobile USA, OPPO, NTT DOCOMO</w:t>
      </w:r>
      <w:r>
        <w:rPr>
          <w:rFonts w:ascii="Times New Roman"/>
          <w:szCs w:val="20"/>
        </w:rPr>
        <w:t>.</w:t>
      </w:r>
    </w:p>
    <w:p w14:paraId="55842614" w14:textId="77777777" w:rsidR="00BF0BBB" w:rsidRPr="00BF0BBB" w:rsidRDefault="00BF0BBB" w:rsidP="00BF0BBB">
      <w:pPr>
        <w:widowControl/>
        <w:rPr>
          <w:rFonts w:ascii="Times New Roman" w:hint="eastAsia"/>
          <w:szCs w:val="20"/>
        </w:rPr>
      </w:pPr>
    </w:p>
    <w:p w14:paraId="6E5B075F" w14:textId="77777777" w:rsidR="00BF0BBB" w:rsidRPr="0003333C" w:rsidRDefault="00BF0BBB" w:rsidP="00BF0BBB">
      <w:pPr>
        <w:widowControl/>
        <w:rPr>
          <w:rFonts w:ascii="Times New Roman"/>
          <w:szCs w:val="20"/>
        </w:rPr>
      </w:pPr>
    </w:p>
    <w:sectPr w:rsidR="00BF0BBB" w:rsidRPr="0003333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D7164" w14:textId="77777777" w:rsidR="006A6A2E" w:rsidRDefault="006A6A2E">
      <w:r>
        <w:separator/>
      </w:r>
    </w:p>
  </w:endnote>
  <w:endnote w:type="continuationSeparator" w:id="0">
    <w:p w14:paraId="1902F459" w14:textId="77777777" w:rsidR="006A6A2E" w:rsidRDefault="006A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49095" w14:textId="77777777"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39B750D" w14:textId="77777777"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539A" w14:textId="77777777"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81EC3">
      <w:rPr>
        <w:rStyle w:val="a8"/>
        <w:noProof/>
      </w:rPr>
      <w:t>2</w:t>
    </w:r>
    <w:r>
      <w:rPr>
        <w:rStyle w:val="a8"/>
      </w:rPr>
      <w:fldChar w:fldCharType="end"/>
    </w:r>
  </w:p>
  <w:p w14:paraId="5D8F2950" w14:textId="77777777"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A8916" w14:textId="77777777" w:rsidR="006A6A2E" w:rsidRDefault="006A6A2E">
      <w:r>
        <w:separator/>
      </w:r>
    </w:p>
  </w:footnote>
  <w:footnote w:type="continuationSeparator" w:id="0">
    <w:p w14:paraId="06AFC43A" w14:textId="77777777" w:rsidR="006A6A2E" w:rsidRDefault="006A6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5D9D13D4"/>
    <w:multiLevelType w:val="hybridMultilevel"/>
    <w:tmpl w:val="11A681EA"/>
    <w:lvl w:ilvl="0" w:tplc="26CE2CA2">
      <w:start w:val="1"/>
      <w:numFmt w:val="bullet"/>
      <w:lvlText w:val="○"/>
      <w:lvlJc w:val="left"/>
      <w:pPr>
        <w:ind w:left="400" w:hanging="400"/>
      </w:pPr>
      <w:rPr>
        <w:rFonts w:ascii="Calibri" w:hAnsi="Calibri"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4"/>
  </w:num>
  <w:num w:numId="5">
    <w:abstractNumId w:val="15"/>
  </w:num>
  <w:num w:numId="6">
    <w:abstractNumId w:val="7"/>
  </w:num>
  <w:num w:numId="7">
    <w:abstractNumId w:val="9"/>
  </w:num>
  <w:num w:numId="8">
    <w:abstractNumId w:val="6"/>
  </w:num>
  <w:num w:numId="9">
    <w:abstractNumId w:val="0"/>
  </w:num>
  <w:num w:numId="10">
    <w:abstractNumId w:val="13"/>
  </w:num>
  <w:num w:numId="11">
    <w:abstractNumId w:val="1"/>
  </w:num>
  <w:num w:numId="12">
    <w:abstractNumId w:val="5"/>
  </w:num>
  <w:num w:numId="13">
    <w:abstractNumId w:val="11"/>
  </w:num>
  <w:num w:numId="14">
    <w:abstractNumId w:val="12"/>
  </w:num>
  <w:num w:numId="15">
    <w:abstractNumId w:val="3"/>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33C"/>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EC3"/>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5F2E"/>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0CC"/>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2451"/>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1E15"/>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6B"/>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676A4"/>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A2E"/>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C4C"/>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C91"/>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221"/>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0647"/>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1EAA"/>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2872"/>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4EE1"/>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C41"/>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63BF"/>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59B"/>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5D8"/>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2E27"/>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BBB"/>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4CA"/>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37F5E"/>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591"/>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3CD"/>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3B2A"/>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7A8E8"/>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13590">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B2D77-2300-4186-A300-C9032EC86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3</Pages>
  <Words>1217</Words>
  <Characters>6943</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86</cp:revision>
  <cp:lastPrinted>2014-01-26T05:26:00Z</cp:lastPrinted>
  <dcterms:created xsi:type="dcterms:W3CDTF">2020-02-17T08:04:00Z</dcterms:created>
  <dcterms:modified xsi:type="dcterms:W3CDTF">2021-09-06T08:14:00Z</dcterms:modified>
</cp:coreProperties>
</file>